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270 vom 28. November 1975</w:t>
      </w:r>
    </w:p>
    <w:p>
      <w:r>
        <w:t>Bundesgericht (BGE), 1975-11-28, DE</w:t>
      </w:r>
    </w:p>
    <w:p>
      <w:r>
        <w:rPr>
          <w:b/>
        </w:rPr>
        <w:t xml:space="preserve">Quelle: </w:t>
      </w:r>
      <w:r>
        <w:t>https://mcp.opencaselaw.ch/entscheid/bge_101 IB 270</w:t>
      </w:r>
    </w:p>
    <w:p>
      <w:r>
        <w:t>FR: BGE 101 IB 270 du 28 novembre 1975</w:t>
      </w:r>
    </w:p>
    <w:p>
      <w:r>
        <w:t>IT: BGE 101 IB 270 del 28 novembre 1975</w:t>
      </w:r>
    </w:p>
    <w:p>
      <w:pPr>
        <w:pStyle w:val="Heading2"/>
      </w:pPr>
      <w:r>
        <w:t>Regeste</w:t>
      </w:r>
    </w:p>
    <w:p>
      <w:r>
        <w:t>Regeste Entzug des Führerausweises wegen Verletzung von Verkehrsregeln. 1. Verhältnis zwischen strafrechtlicher Sanktion einer Verkehrsregelverletzung und Führerausweisentzug (Bestätigung der Rechtsprechung) (Erw. 1). 2. Unter welchen Voraussetzungen berechtigen zusätzliche Beweismassnahmen die Verwaltungsbehörden, vom Erkenntnis des Strafrichters abzuweichen? (Erw. 2).</w:t>
      </w:r>
    </w:p>
    <w:p>
      <w:pPr>
        <w:pStyle w:val="Heading2"/>
      </w:pPr>
      <w:r>
        <w:t>Erwägungen</w:t>
      </w:r>
    </w:p>
    <w:p>
      <w:r>
        <w:rPr>
          <w:b/>
        </w:rPr>
        <w:t>E. 1</w:t>
      </w:r>
    </w:p>
    <w:p>
      <w:r>
        <w:t>a) Nach Art. 16 Abs. 2 SVG kann der Führerausweis entzogen werden, wenn der Führer Verkehrsregeln verletzt und dadurch den Verkehr gefährdet oder andere belästigt hat. In leichten Fällen kann eine Verwarnung ausgesprochen werden. Hat der Führer den Verkehr in schwerer Weise gefährdet, so muss der Ausweis gemäss Art. 16 Abs. 3 lit. a SVG entzogen werden. Der Regierungsrat und das EJPD haben den gegenüber dem Beschwerdeführer ausgesprochenen Ausweisentzug BGE 101 Ib 270 S. 273 auf Art. 16 Abs. 2 SVG gestützt, während die erstinstanzlich verfügende Polizeidirektion nur generell auf Art. 16 und 17 SVG hingewiesen hat. Verletzungen von Verkehrsregeln werden anderseits in Art. 90 SVG unter Strafe gestellt, wobei einfache Verkehrsregelverletzungen nach Ziff. 1 mit Haft oder Busse bestraft werden, während nach Ziff. 2 mit Gefängnis oder Busse bedroht wird, wer durch grobe Verletzung der Verkehrsregeln eine ernstliche Gefahr für die Sicherheit anderer hervorruft oder in Kauf nimmt. Der Polizeirichter der Stadt Zürich hat den Beschwerdeführer zunächst wegen Nichtbeherrschens des Fahrzeuges infolge Nichtanpassens der Geschwindigkeit an die gegebenen Strassen- und Sichtverhältnisse in Anwendung von Art. 90 Ziff. 1 SVG gebüsst, diese Bussenverfügung jedoch in der Folge aufgehoben. Der Entscheid der Verwaltungsbehörden weicht somit vom Erkenntnis des Strafrichters ab. b) Der Führerausweisentzug stellt eine von der strafrechtlichen Sanktion unabhängige, um der Verkehrssicherheit willen angeordnete Verwaltungsmassnahme mit präventivem und erzieherischem Charakter dar. Das Gesetz sieht keine Bindung der Administrativbehörde an das Erkenntnis des Strafrichters vor. Die Administrativbehörde ist deshalb befugt, selbständig zu entscheiden, ob die Voraussetzungen für einen Ausweisentzug erfüllt sind. Die grundsätzliche Unabhängigkeit der Verwaltungsbehörde rechtfertigt sich auch aus dem Grunde, dass die Tatbestandsumschreibungen für den Führerausweisentzug und für die strafrechtlichen Sanktionen nicht übereinstimmen. Zwar bestehen gewisse Parallelen zwischen Art. 16 Abs. 2 und Art. 90 Ziff. 1 SVG einerseits, Art. 16 Abs. 3 lit. a und Art. 90 Ziff. 2 SVG anderseits. Art. 16 Abs. 2 setzt jedoch voraus, dass der Führer mit der Verletzung von Verkehrsregeln den Verkehr gefährdet oder andere belästigt hat; zudem ist selbst unter diesen Voraussetzungen der Ausweisentzug bloss fakultativ, und in leichten Fällen hat die Behörde die Möglichkeit, den fehlbaren Lenker zu verwarnen ( BGE 96 I 773 f. E. 4 mit Hinweisen, nicht veröffentlichte Urteile P. vom 27. März 1973 und D. vom 21. Dezember 1973; ferner F. GYGI, Bundesrechtliche Rechtsmittel bei Entzug von Führerausweisen, in: Rechtsprobleme des Strassenverkehrs, Bern 1975, S. 134 ff.). Dem Grundsatz der Unabhängigkeit der Administrativbehörde als Ausfluss des Gewaltenteilungsprinzips stehen BGE 101 Ib 270 S. 274 wesentliche Interessen der Rechtseinheit und der Rechtssicherheit gegenüber. In Berücksichtigung dieser Interessen hat das EJPD in seiner Rechtsprechung zum Entzug von Führerausweisen stets betont, dass die Administrativbehörde nicht ohne Not von den Feststellungen des Strafurteils abweichen sollte, und die Interkantonale Kommission für den Strassenverkehr hat ebenfalls auf die Wünschbarkeit einer Übereinstimmung von Verwaltungsmassnahmen und Strafjustiz hingewiesen ( BGE 96 I 774 E. 4). Das Bundesgericht hat sich diesen Überlegungen angeschlossen, gleichzeitig jedoch geprüft, in welchem Umfang sich Abweichungen rechtfertigen. Es hat dabei festgehalten, dass insbesondere drei Fälle die Verwaltung zwingen können, vom Entscheid des Strafrichters abzuweichen. Ein Grund für ein Abweichen kann darin liegen, dass die Verwaltungsbehörde Tatsachen feststellt und ihrem Entscheid zugrundelegt, die dem Strafrichter unbekannt waren, oder die er nicht beachtet hat. Den Administrativbehörden steht die Befugnis zu, selber Beweise zu erheben und diese frei zu würdigen. Eine solche zusätzliche Beweiserhebung und freie Beweiswürdigung kann ebenfalls zu einem abweichenden Entscheid der Administrativbehörde führen. Hat allerdings die Verwaltungsbehörde keine zusätzlichen Beweise erhoben, so darf sie von der Beweiswürdigung durch den Strafrichter nur dann abweichen, wenn diese den feststehenden Tatsachen klar widerspricht. Endlich kann die Verwaltungsbehörde dann zu einem anderen Ergebnis gelangen als der Strafrichter, wenn dieser bei der Anwendung des geltenden Rechts auf den Sachverhalt nicht alle Rechtsfragen abgeklärt, insbesondere die Verletzung bestimmter Verkehrsregeln übersehen hat ( BGE 96 I 774 f. E. 5; GYGI, a.a.O., S. 135 f.).</w:t>
      </w:r>
    </w:p>
    <w:p>
      <w:r>
        <w:rPr>
          <w:b/>
        </w:rPr>
        <w:t>E. 2</w:t>
      </w:r>
    </w:p>
    <w:p>
      <w:r>
        <w:t>a) Der Regierungsrat und das EJPD machen geltend, die Administrativbehörden hätten zusätzliche, dem Strafrichter nicht bekannte Beweise erhoben. Es trifft zu, dass weitere Abklärungen getroffen wurden. Der mit der Vorbereitung des Rekursentscheides betraute Sachbearbeiter der Polizeidirektion setzte sich telephonisch mit dem Garagechef der Firma AMAG und mit dem technischen Chefexperten des Strassenverkehrsamtes in Verbindung; ferner befragte er, ebenfalls telephonisch, den Beschwerdeführer nochmals. Zudem wurde nachträglich ein Unfallplan erstellt. Die Vorinstanzen sind der BGE 101 Ib 270 S. 275 Ansicht, eine freie Würdigung dieser Beweise, insbesondere der Aussagen der beiden Automobilsachverständigen, führe zum Schluss, dass der Beschwerdeführer den Unfall schuldhaft verursacht und dabei den Verkehr gefährdet habe, weshalb der Führerausweis entzogen werden müsse. b) Ob zusätzliche Beweiserhebungen und die ihnen folgende freie Beweiswürdigung die Verwaltungsbehörde berechtigen, vom Erkenntnis des Strafrichters abzuweichen, ist eine Rechtsfrage, die das Bundesgericht nach Art. 104 lit. a OG frei prüft. Zu prüfen ist insbesondere, ob der zusätzliche Beweis für den Entscheid von Bedeutung war, denn es versteht sich, dass nicht jede über das vom Strafrichter durchgeführte Beweisverfahren hinaus getroffene Abklärung ein Abweichen zu rechtfertigen vermag. Ferner ist zu untersuchen, ob der zusätzliche Beweis nach dem gesetzlich vorgesehenen Verfahren erhoben worden ist. Hat die Verwaltungsbehörde bei der Beweisergänzung wesentliche Verfahrensgrundsätze verletzt, kann offen gelassen werden, ob der Beweis überhaupt von Bedeutung ist. Das Verfahren vor dem Regierungsrat des Kantons Zürich als Rekursbehörde richtet sich nach den Vorschriften von §§ 7 ff. und 26 des Zürcher Gesetzes über den Rechtsschutz in Verwaltungssachen (Verwaltungsrechtspflegegesetz) vom 24. Mai 1959 (VRG); obwohl der Entzug des Führerausweises bundesrechtlich geregelt ist, finden die Vorschriften des VwVG keine Anwendung, mit Ausnahme der Bestimmungen über die Eröffnung von Verfügungen und den Entzug der aufschiebenden Wirkung ( Art. 1 Abs. 3 VwVG ). Nach § 7 Abs. 1 VRG untersucht die Verwaltungsbehörde den Sachverhalt von Amtes wegen durch Befragen der Beteiligten und von Auskunftspersonen, durch Beizug von Amtsberichten, Urkunden und Sachverständigen, durch Augenschein oder auf andere Weise. § 7 Abs. 2 VRG sieht ein Mitwirkungsrecht der Beteiligten vor, soweit sie ein Begehren gestellt haben, und gemäss § 8 VRG steht den durch eine Anordnung in ihren Rechten Betroffenen das Recht zu, Einsicht in die Akten zu nehmen. Im Rekursverfahren ist der Vorinstanz und den am vorinstanzlichen Verfahren Beteiligten Gelegenheit zur Vernehmlassung zu geben, und die Rekursinstanz kann einen weiteren Schriftenwechsel anordnen oder die Beteiligten zu einer mündlichen Verhandlung vorladen (§ 26 Abs. 2 und 3 VRG). BGE 101 Ib 270 S. 276 Der Regierungsrat scheint sowohl den Garagechef der Firma AMAG als auch den Chefexperten des Strassenverkehrsamtes als Sachverständige befragt zu haben. Die genannten Bestimmungen des VRG sagen nichts darüber aus, ob Experten, die im verwaltungsinternen Rekursverfahren mitwirken, an die gleichen strengen Pflichten gebunden sind wie im Verfahren vor dem Verwaltungsgericht und vor den Zivilgerichten (vgl. § 60 VRG, der auf §§ 157 ff. des Gesetzes betreffend den Zivilprozess vom 13. April 1913 verweist). Der Beschwerdeführer hat nicht ausdrücklich eine Verletzung von Art. 4 BV durch Nichtbeachtung verfahrensrechtlicher Vorschriften geltend gemacht. Deshalb kann offen bleiben, ob die beiden befragten Personen als Sachverständige oder als blosse Auskunftspersonen zu betrachten sind, und ob die telephonische Befragung von Sachverständigen oder Auskunftspersonen überhaupt zulässig ist. Ebenso braucht nicht entschieden zu werden, ob der Regierungsrat den in § 7 Abs. 2 VRG festgehaltenen Grundsatz der Parteiöffentlichkeit und damit den Gehörsanspruch dadurch verletzt hat, dass er dem Beschwerdeführer keine Gelegenheit einräumte, sich zu den eingeholten Auskünften zu äussern. Es genügt festzustellen, dass die vorgenommenen zusätzlichen Abklärungen nicht als eigentliche Beweisergänzungen bezeichnet und anerkannt werden können. Die bloss telephonisch eingeholten Auskünfte haben der Administrativbehörde keine Möglichkeit verschafft, den befragten Personen, soweit diese als Sachverständige mitgewirkt haben, den für zuverlässige Auskünfte unerlässlichen Einblick in die Akten zu gewähren, anderseits von den als Auskunftspersonen befragten Dritten einen persönlichen Eindruck zu gewinnen. Zudem sind die Aussagen bloss summarisch in Aktennotizen festgehalten, was dem Betroffenen verunmöglicht hat, sich umfassend ins Bild zu setzen, Ergänzungsfragen zu stellen und sich zu verteidigen. Ebenso ist die Rechtsmittelinstanz nicht in der Lage zu prüfen, ob die Auskünfte zutreffen. Aus diesen Gründen berechtigten die getroffenen Abklärungen den Regierungsrat nicht, vom Erkenntnis des Strafrichters abzuweichen. Darüber hinaus sind gegenüber den Aussagen der beiden befragten Personen auch materielle Zweifel angezeigt. Man gewinnt den Eindruck, dass der Garagechef der AMAG bemüht war, die mangelhafte Arbeit seiner Werkstätte vor dem BGE 101 Ib 270 S. 277 Unfall zu bagatellisieren, und die Auskünfte, die der technische Chefexperte des Strassenverkehrsamtes ohne Kenntnis der Akten und des Fahrzeugzustandes erteilte, erscheinen zu wenig differenzierend. Im übrigen sind die Auskünfte nicht geeignet, jeglichen Verdacht eines Einflusses der mangelhaften Bremsen auf den Unfall auszuschliessen. Die Bemerkung des Experten, der Unfall hätte sich nur dann so zutragen können, wie der Beschwerdeführer behaupte, wenn die Bremsen katastrophal schlecht gewesen wären, deckt sich vielmehr mit dem Ergebnis der nach dem Unfall auf Kosten der Firma AMAG durchgeführten Reparatur. Da die Verwaltungsbehörden keine taugliche ergänzende Beweisaufnahme durchgeführt haben, und da nicht gesagt werden kann, die Beweiswürdigung durch den Strafrichter widerspreche den vorhandenen Tatsachen, soweit er einen Einfluss des Bremsdefektes auf den Unfall angenommen hat, besteht kein Anlass, davon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